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8908D4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850DB">
        <w:rPr>
          <w:rFonts w:asciiTheme="majorHAnsi" w:eastAsia="Times New Roman" w:hAnsiTheme="majorHAnsi" w:cs="Times New Roman"/>
          <w:lang w:eastAsia="cs-CZ"/>
        </w:rPr>
        <w:t>5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D852C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852C2">
        <w:rPr>
          <w:rFonts w:eastAsia="Times New Roman" w:cs="Times New Roman"/>
          <w:b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852C2">
        <w:rPr>
          <w:rFonts w:eastAsia="Times New Roman" w:cs="Times New Roman"/>
          <w:b/>
          <w:lang w:eastAsia="cs-CZ"/>
        </w:rPr>
        <w:t xml:space="preserve">Číslo smlouvy zhotovitele. </w:t>
      </w:r>
      <w:r w:rsidRPr="00F20995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D852C2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D852C2">
        <w:rPr>
          <w:rFonts w:eastAsia="Times New Roman" w:cs="Times New Roman"/>
          <w:lang w:eastAsia="cs-CZ"/>
        </w:rPr>
        <w:t>IČO 70994234, DIČ CZ70994234</w:t>
      </w:r>
    </w:p>
    <w:p w14:paraId="686BA1F9" w14:textId="49E38D71" w:rsidR="004E1498" w:rsidRPr="00D852C2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852C2">
        <w:rPr>
          <w:rFonts w:eastAsia="Times New Roman" w:cs="Times New Roman"/>
          <w:lang w:eastAsia="cs-CZ"/>
        </w:rPr>
        <w:t xml:space="preserve">                      </w:t>
      </w:r>
      <w:r w:rsidR="00D852C2">
        <w:rPr>
          <w:rFonts w:ascii="Verdana" w:hAnsi="Verdana"/>
        </w:rPr>
        <w:t xml:space="preserve">Bankovní spojení: Česká národní banka, č. </w:t>
      </w:r>
      <w:proofErr w:type="spellStart"/>
      <w:r w:rsidR="00D852C2">
        <w:rPr>
          <w:rFonts w:ascii="Verdana" w:hAnsi="Verdana"/>
        </w:rPr>
        <w:t>ú.</w:t>
      </w:r>
      <w:proofErr w:type="spellEnd"/>
      <w:r w:rsidR="00D852C2">
        <w:rPr>
          <w:rFonts w:ascii="Verdana" w:hAnsi="Verdana"/>
        </w:rPr>
        <w:t>: 3009-14606011/0710</w:t>
      </w:r>
      <w:r w:rsidRPr="00D852C2">
        <w:rPr>
          <w:rFonts w:eastAsia="Times New Roman" w:cs="Times New Roman"/>
          <w:lang w:eastAsia="cs-CZ"/>
        </w:rPr>
        <w:t xml:space="preserve">   </w:t>
      </w:r>
      <w:r w:rsidRPr="00D852C2">
        <w:rPr>
          <w:rFonts w:eastAsia="Times New Roman" w:cs="Times New Roman"/>
          <w:lang w:eastAsia="cs-CZ"/>
        </w:rPr>
        <w:tab/>
      </w:r>
    </w:p>
    <w:p w14:paraId="0431CDBD" w14:textId="46E2355B" w:rsidR="004E1498" w:rsidRPr="00D852C2" w:rsidRDefault="00D852C2" w:rsidP="00D852C2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 w:rsidRPr="00D852C2">
        <w:rPr>
          <w:rFonts w:eastAsia="Times New Roman" w:cs="Times New Roman"/>
          <w:b/>
          <w:lang w:eastAsia="cs-CZ"/>
        </w:rPr>
        <w:t>O</w:t>
      </w:r>
      <w:r w:rsidR="004E1498" w:rsidRPr="00D852C2">
        <w:rPr>
          <w:rFonts w:eastAsia="Times New Roman" w:cs="Times New Roman"/>
          <w:b/>
          <w:lang w:eastAsia="cs-CZ"/>
        </w:rPr>
        <w:t>rganizační složka</w:t>
      </w:r>
      <w:r w:rsidRPr="00D852C2">
        <w:rPr>
          <w:rFonts w:eastAsia="Times New Roman" w:cs="Times New Roman"/>
          <w:b/>
          <w:lang w:eastAsia="cs-CZ"/>
        </w:rPr>
        <w:t>:</w:t>
      </w:r>
      <w:r w:rsidR="004E1498" w:rsidRPr="00D852C2">
        <w:rPr>
          <w:rFonts w:eastAsia="Times New Roman" w:cs="Times New Roman"/>
          <w:b/>
          <w:lang w:eastAsia="cs-CZ"/>
        </w:rPr>
        <w:t xml:space="preserve"> </w:t>
      </w:r>
      <w:r w:rsidRPr="00D852C2">
        <w:rPr>
          <w:rFonts w:eastAsia="Times New Roman" w:cs="Times New Roman"/>
          <w:b/>
          <w:lang w:eastAsia="cs-CZ"/>
        </w:rPr>
        <w:t>Oblastní ředitelství Olomouc</w:t>
      </w:r>
      <w:r w:rsidR="004E1498" w:rsidRPr="00D852C2">
        <w:rPr>
          <w:rFonts w:eastAsia="Times New Roman" w:cs="Times New Roman"/>
          <w:b/>
          <w:lang w:eastAsia="cs-CZ"/>
        </w:rPr>
        <w:t xml:space="preserve">, </w:t>
      </w:r>
    </w:p>
    <w:p w14:paraId="05AE7DF1" w14:textId="261702D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D852C2">
        <w:rPr>
          <w:rFonts w:eastAsia="Times New Roman" w:cs="Times New Roman"/>
          <w:lang w:eastAsia="cs-CZ"/>
        </w:rPr>
        <w:t xml:space="preserve">zastoupená </w:t>
      </w:r>
      <w:r w:rsidR="00D852C2" w:rsidRPr="00D852C2">
        <w:rPr>
          <w:rFonts w:eastAsia="Times New Roman" w:cs="Times New Roman"/>
          <w:lang w:eastAsia="cs-CZ"/>
        </w:rPr>
        <w:t>Ing. Ladislavem Kašparem, ředitelem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1C0CF4A" w14:textId="77777777" w:rsidR="00D852C2" w:rsidRDefault="00D852C2" w:rsidP="00D852C2">
      <w:pPr>
        <w:spacing w:after="0" w:line="240" w:lineRule="auto"/>
        <w:ind w:firstLine="709"/>
        <w:rPr>
          <w:rFonts w:ascii="Verdana" w:hAnsi="Verdana"/>
        </w:rPr>
      </w:pPr>
      <w:r>
        <w:rPr>
          <w:rFonts w:ascii="Verdana" w:hAnsi="Verdana"/>
          <w:b/>
        </w:rPr>
        <w:t>Kontaktní adresa pro doručování písemností a daňových dokladů</w:t>
      </w:r>
      <w:r>
        <w:rPr>
          <w:rFonts w:ascii="Verdana" w:hAnsi="Verdana"/>
        </w:rPr>
        <w:t>:</w:t>
      </w:r>
    </w:p>
    <w:p w14:paraId="1CDD29A5" w14:textId="7F0D1A60" w:rsidR="00D852C2" w:rsidRDefault="00D852C2" w:rsidP="00D852C2">
      <w:pPr>
        <w:spacing w:after="0" w:line="240" w:lineRule="auto"/>
        <w:ind w:firstLine="709"/>
        <w:rPr>
          <w:rFonts w:ascii="Verdana" w:hAnsi="Verdana"/>
        </w:rPr>
      </w:pPr>
      <w:r>
        <w:rPr>
          <w:rFonts w:ascii="Verdana" w:hAnsi="Verdana"/>
        </w:rPr>
        <w:t>Správa železnic, státní organizace</w:t>
      </w:r>
    </w:p>
    <w:p w14:paraId="6B9357A9" w14:textId="5F03976D" w:rsidR="00D852C2" w:rsidRDefault="00D852C2" w:rsidP="00D852C2">
      <w:pPr>
        <w:spacing w:after="0" w:line="240" w:lineRule="auto"/>
        <w:ind w:firstLine="709"/>
        <w:rPr>
          <w:rFonts w:ascii="Verdana" w:hAnsi="Verdana"/>
        </w:rPr>
      </w:pPr>
      <w:r>
        <w:rPr>
          <w:rFonts w:ascii="Verdana" w:hAnsi="Verdana"/>
        </w:rPr>
        <w:t>Oblastní ředitelství Olomouc, Nerudova 1, 779 00 Olomouc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6D837DD" w14:textId="77777777" w:rsidR="00D852C2" w:rsidRDefault="008E1E86" w:rsidP="00D852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4A84FB3F" w14:textId="77777777" w:rsidR="00D852C2" w:rsidRDefault="00D852C2" w:rsidP="00D852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6B11B96" w14:textId="5FE40AF3" w:rsidR="00D852C2" w:rsidRPr="00D852C2" w:rsidRDefault="00D852C2" w:rsidP="00D852C2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eastAsia="Times New Roman" w:cs="Times New Roman"/>
          <w:i/>
          <w:lang w:eastAsia="cs-CZ"/>
        </w:rPr>
      </w:pPr>
      <w:r>
        <w:rPr>
          <w:rFonts w:ascii="Verdana" w:hAnsi="Verdana"/>
          <w:b/>
          <w:highlight w:val="yellow"/>
        </w:rPr>
        <w:t>Kontaktní adresa pro doručování písemností a daňových dokladů</w:t>
      </w:r>
      <w:r>
        <w:rPr>
          <w:rFonts w:ascii="Verdana" w:hAnsi="Verdana"/>
          <w:highlight w:val="yellow"/>
        </w:rPr>
        <w:t>:</w:t>
      </w:r>
    </w:p>
    <w:p w14:paraId="637C2ECB" w14:textId="77777777" w:rsidR="00D852C2" w:rsidRDefault="00D852C2" w:rsidP="00D852C2">
      <w:pPr>
        <w:spacing w:after="0" w:line="240" w:lineRule="auto"/>
        <w:ind w:firstLine="709"/>
        <w:jc w:val="both"/>
        <w:rPr>
          <w:rFonts w:ascii="Verdana" w:hAnsi="Verdana"/>
          <w:highlight w:val="yellow"/>
        </w:rPr>
      </w:pPr>
      <w:r>
        <w:rPr>
          <w:rFonts w:ascii="Verdana" w:hAnsi="Verdana"/>
          <w:highlight w:val="yellow"/>
        </w:rPr>
        <w:t>……………………………………….</w:t>
      </w:r>
    </w:p>
    <w:p w14:paraId="2E1C11C4" w14:textId="77777777" w:rsidR="00D852C2" w:rsidRDefault="00D852C2" w:rsidP="00D852C2">
      <w:pPr>
        <w:ind w:firstLine="708"/>
        <w:jc w:val="both"/>
        <w:rPr>
          <w:rFonts w:ascii="Verdana" w:hAnsi="Verdana"/>
          <w:highlight w:val="yellow"/>
        </w:rPr>
      </w:pPr>
      <w:r>
        <w:rPr>
          <w:rFonts w:ascii="Verdana" w:hAnsi="Verdana"/>
          <w:highlight w:val="yellow"/>
        </w:rPr>
        <w:t>……………………………………………….</w:t>
      </w: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CD604F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</w:t>
      </w:r>
      <w:r w:rsidRPr="001E668B">
        <w:rPr>
          <w:rFonts w:eastAsia="Times New Roman" w:cs="Times New Roman"/>
          <w:lang w:eastAsia="cs-CZ"/>
        </w:rPr>
        <w:t xml:space="preserve">výsledků zadávacího řízení veřejné zakázky s názvem </w:t>
      </w:r>
      <w:r w:rsidR="00527421" w:rsidRPr="001E668B">
        <w:rPr>
          <w:rFonts w:eastAsia="Times New Roman" w:cs="Times New Roman"/>
          <w:b/>
          <w:lang w:eastAsia="cs-CZ"/>
        </w:rPr>
        <w:t>„</w:t>
      </w:r>
      <w:r w:rsidR="001E668B" w:rsidRPr="001E668B">
        <w:rPr>
          <w:rFonts w:eastAsia="Times New Roman" w:cs="Times New Roman"/>
          <w:b/>
          <w:lang w:eastAsia="cs-CZ"/>
        </w:rPr>
        <w:t>Údržba a oprava výměnných dílů zabezpečovacích zařízení v obvodu SSZT 2020</w:t>
      </w:r>
      <w:r w:rsidRPr="001E668B">
        <w:rPr>
          <w:rFonts w:eastAsia="Times New Roman" w:cs="Times New Roman"/>
          <w:b/>
          <w:lang w:eastAsia="cs-CZ"/>
        </w:rPr>
        <w:t>“</w:t>
      </w:r>
      <w:r w:rsidRPr="001E668B">
        <w:rPr>
          <w:rFonts w:eastAsia="Times New Roman" w:cs="Times New Roman"/>
          <w:lang w:eastAsia="cs-CZ"/>
        </w:rPr>
        <w:t xml:space="preserve">, </w:t>
      </w:r>
      <w:r w:rsidR="001E668B">
        <w:rPr>
          <w:rFonts w:eastAsia="Times New Roman" w:cs="Times New Roman"/>
          <w:lang w:eastAsia="cs-CZ"/>
        </w:rPr>
        <w:br/>
      </w:r>
      <w:proofErr w:type="gramStart"/>
      <w:r w:rsidR="000D278B" w:rsidRPr="001E668B">
        <w:rPr>
          <w:rFonts w:eastAsia="Times New Roman" w:cs="Times New Roman"/>
          <w:lang w:eastAsia="cs-CZ"/>
        </w:rPr>
        <w:t>č.j.</w:t>
      </w:r>
      <w:proofErr w:type="gramEnd"/>
      <w:r w:rsidR="000D278B" w:rsidRPr="001E668B">
        <w:rPr>
          <w:rFonts w:eastAsia="Times New Roman" w:cs="Times New Roman"/>
          <w:lang w:eastAsia="cs-CZ"/>
        </w:rPr>
        <w:t xml:space="preserve"> veřejné zakázky </w:t>
      </w:r>
      <w:r w:rsidR="001E668B" w:rsidRPr="001E668B">
        <w:rPr>
          <w:rFonts w:eastAsia="Times New Roman" w:cs="Times New Roman"/>
          <w:lang w:eastAsia="cs-CZ"/>
        </w:rPr>
        <w:t xml:space="preserve">903/2020-SŽDC-OŘ OLC-NPI </w:t>
      </w:r>
      <w:r w:rsidRPr="001E668B">
        <w:rPr>
          <w:rFonts w:eastAsia="Times New Roman" w:cs="Times New Roman"/>
          <w:lang w:eastAsia="cs-CZ"/>
        </w:rPr>
        <w:t>(dále jen „veřejná zakázka</w:t>
      </w:r>
      <w:r w:rsidR="006566F7" w:rsidRPr="001E668B">
        <w:rPr>
          <w:rFonts w:eastAsia="Times New Roman" w:cs="Times New Roman"/>
          <w:lang w:eastAsia="cs-CZ"/>
        </w:rPr>
        <w:t>“). Jednotlivá ustanovení této S</w:t>
      </w:r>
      <w:r w:rsidRPr="001E668B">
        <w:rPr>
          <w:rFonts w:eastAsia="Times New Roman" w:cs="Times New Roman"/>
          <w:lang w:eastAsia="cs-CZ"/>
        </w:rPr>
        <w:t>mlouvy tak budou vykládána v souladu se zadávacími</w:t>
      </w:r>
      <w:r w:rsidRPr="004E1498">
        <w:rPr>
          <w:rFonts w:eastAsia="Times New Roman" w:cs="Times New Roman"/>
          <w:lang w:eastAsia="cs-CZ"/>
        </w:rPr>
        <w:t xml:space="preserve">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67CF2A3" w:rsidR="004E1498" w:rsidRPr="001E668B" w:rsidRDefault="004E1498" w:rsidP="001E668B">
      <w:pPr>
        <w:pStyle w:val="Nadpis2"/>
        <w:spacing w:after="120"/>
        <w:ind w:left="578" w:hanging="578"/>
        <w:contextualSpacing w:val="0"/>
      </w:pPr>
      <w:r w:rsidRPr="004E1498">
        <w:t xml:space="preserve">Předmětem díla je </w:t>
      </w:r>
      <w:r w:rsidR="001E668B" w:rsidRPr="001E668B">
        <w:t>zajištění cyklických prověrek a oprav výměnných dílů a elektronických prvků a zařízení dle předpisu SŽDC T115 v roce 2020.</w:t>
      </w:r>
    </w:p>
    <w:p w14:paraId="31E5226B" w14:textId="25C769E0" w:rsidR="004E1498" w:rsidRPr="001E668B" w:rsidRDefault="004E1498" w:rsidP="00592757">
      <w:pPr>
        <w:pStyle w:val="Nadpis2"/>
        <w:jc w:val="left"/>
      </w:pPr>
      <w:r w:rsidRPr="001E668B">
        <w:t>Předmět díla je blíže specifikován v přílo</w:t>
      </w:r>
      <w:r w:rsidR="00CB53B1" w:rsidRPr="001E668B">
        <w:t>ze</w:t>
      </w:r>
      <w:r w:rsidRPr="001E668B">
        <w:t xml:space="preserve"> </w:t>
      </w:r>
      <w:r w:rsidR="001E668B" w:rsidRPr="001E668B">
        <w:t>č. 1 Smlouvy</w:t>
      </w:r>
      <w:r w:rsidRPr="001E668B">
        <w:t>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1F473F35" w:rsidR="005740C3" w:rsidRDefault="001E668B" w:rsidP="001E668B">
      <w:pPr>
        <w:pStyle w:val="Nadpis2"/>
        <w:spacing w:after="120"/>
        <w:ind w:left="578" w:hanging="578"/>
        <w:contextualSpacing w:val="0"/>
        <w:jc w:val="left"/>
      </w:pPr>
      <w:r>
        <w:t xml:space="preserve">Cena bez DPH </w:t>
      </w:r>
      <w:r>
        <w:tab/>
      </w:r>
      <w:r>
        <w:tab/>
        <w:t xml:space="preserve"> ………………. Kč</w:t>
      </w:r>
    </w:p>
    <w:p w14:paraId="7979BC31" w14:textId="2AFE07E9" w:rsidR="005740C3" w:rsidRDefault="001E668B" w:rsidP="001E668B">
      <w:pPr>
        <w:pStyle w:val="Nadpis2"/>
        <w:spacing w:after="120"/>
        <w:ind w:left="578" w:hanging="578"/>
        <w:contextualSpacing w:val="0"/>
        <w:jc w:val="left"/>
      </w:pPr>
      <w:r>
        <w:t xml:space="preserve">Výše DPH 21%     </w:t>
      </w:r>
      <w:r>
        <w:tab/>
        <w:t xml:space="preserve"> ………………. Kč</w:t>
      </w:r>
    </w:p>
    <w:p w14:paraId="13EC6F11" w14:textId="14B221F1" w:rsidR="00810E9B" w:rsidRPr="00275474" w:rsidRDefault="001E668B" w:rsidP="001E668B">
      <w:pPr>
        <w:pStyle w:val="Nadpis2"/>
        <w:spacing w:after="120"/>
        <w:ind w:left="578" w:hanging="578"/>
        <w:contextualSpacing w:val="0"/>
        <w:jc w:val="left"/>
      </w:pPr>
      <w:r>
        <w:t xml:space="preserve">Cena včetně DPH </w:t>
      </w:r>
      <w:r>
        <w:tab/>
        <w:t xml:space="preserve"> ………………. Kč</w:t>
      </w:r>
    </w:p>
    <w:p w14:paraId="36DF1F7F" w14:textId="0ED4319A" w:rsidR="00810E9B" w:rsidRPr="001E668B" w:rsidRDefault="00810E9B" w:rsidP="001E668B">
      <w:pPr>
        <w:pStyle w:val="Nadpis2"/>
        <w:spacing w:after="120"/>
        <w:ind w:left="578" w:hanging="578"/>
        <w:contextualSpacing w:val="0"/>
        <w:jc w:val="left"/>
      </w:pPr>
      <w:r w:rsidRPr="001E668B">
        <w:t>Zhotovitelem oceněný položkový rozp</w:t>
      </w:r>
      <w:r w:rsidR="006566F7" w:rsidRPr="001E668B">
        <w:t>očet Díla je přílohou č.</w:t>
      </w:r>
      <w:r w:rsidR="001E668B" w:rsidRPr="001E668B">
        <w:t xml:space="preserve"> 1</w:t>
      </w:r>
      <w:r w:rsidR="006566F7" w:rsidRPr="001E668B">
        <w:t xml:space="preserve"> </w:t>
      </w:r>
      <w:r w:rsidRPr="001E668B">
        <w:t>Smlouvy.</w:t>
      </w:r>
    </w:p>
    <w:p w14:paraId="28C81697" w14:textId="0564C888" w:rsidR="00810E9B" w:rsidRPr="001E668B" w:rsidRDefault="00810E9B" w:rsidP="001E668B">
      <w:pPr>
        <w:pStyle w:val="Nadpis2"/>
        <w:spacing w:after="120"/>
        <w:ind w:left="578" w:hanging="578"/>
        <w:contextualSpacing w:val="0"/>
        <w:jc w:val="left"/>
      </w:pPr>
      <w:r w:rsidRPr="001E668B">
        <w:t xml:space="preserve">Fakturace bude provedena </w:t>
      </w:r>
      <w:r w:rsidR="00CB53B1" w:rsidRPr="001E668B">
        <w:t>na základě předávací</w:t>
      </w:r>
      <w:r w:rsidR="001E668B">
        <w:t>c</w:t>
      </w:r>
      <w:r w:rsidR="00CB53B1" w:rsidRPr="001E668B">
        <w:t>h protokol</w:t>
      </w:r>
      <w:r w:rsidR="001E668B">
        <w:t>ů</w:t>
      </w:r>
      <w:r w:rsidR="00CB53B1" w:rsidRPr="001E668B">
        <w:t xml:space="preserve"> podepsan</w:t>
      </w:r>
      <w:r w:rsidR="001E668B">
        <w:t>ých</w:t>
      </w:r>
      <w:r w:rsidR="00CB53B1" w:rsidRPr="001E668B">
        <w:t xml:space="preserve"> </w:t>
      </w:r>
      <w:r w:rsidR="006566F7" w:rsidRPr="001E668B">
        <w:t>oběma S</w:t>
      </w:r>
      <w:r w:rsidR="00FA32F8" w:rsidRPr="001E668B">
        <w:t>mluvními stranami</w:t>
      </w:r>
      <w:r w:rsidR="001E668B" w:rsidRPr="001E668B">
        <w:t>.</w:t>
      </w:r>
    </w:p>
    <w:p w14:paraId="1AFBED57" w14:textId="77777777" w:rsidR="004E1498" w:rsidRPr="006F2E71" w:rsidRDefault="004E1498" w:rsidP="00592757">
      <w:pPr>
        <w:pStyle w:val="Nadpis1"/>
        <w:rPr>
          <w:rFonts w:eastAsia="Times New Roman"/>
          <w:lang w:eastAsia="cs-CZ"/>
        </w:rPr>
      </w:pPr>
      <w:r w:rsidRPr="006F2E71">
        <w:rPr>
          <w:rFonts w:eastAsia="Times New Roman"/>
          <w:lang w:eastAsia="cs-CZ"/>
        </w:rPr>
        <w:t>Místo a doba plnění</w:t>
      </w:r>
    </w:p>
    <w:p w14:paraId="4DCCF507" w14:textId="6967D662" w:rsidR="004E1498" w:rsidRPr="006F2E71" w:rsidRDefault="004E1498" w:rsidP="006F2E71">
      <w:pPr>
        <w:pStyle w:val="Nadpis2"/>
        <w:spacing w:after="120"/>
        <w:ind w:left="578" w:hanging="578"/>
        <w:contextualSpacing w:val="0"/>
        <w:jc w:val="left"/>
      </w:pPr>
      <w:r w:rsidRPr="006F2E71">
        <w:t>Místem plnění je</w:t>
      </w:r>
      <w:r w:rsidR="001E668B" w:rsidRPr="006F2E71">
        <w:t xml:space="preserve"> Celý obvod Oblastního ředitelství Olomouc</w:t>
      </w:r>
    </w:p>
    <w:p w14:paraId="773EB070" w14:textId="21B717AE" w:rsidR="00CB53B1" w:rsidRPr="00275474" w:rsidRDefault="00CB53B1" w:rsidP="006F2E71">
      <w:pPr>
        <w:pStyle w:val="Nadpis2"/>
        <w:spacing w:after="120"/>
        <w:ind w:left="578" w:hanging="578"/>
        <w:contextualSpacing w:val="0"/>
        <w:jc w:val="left"/>
      </w:pPr>
      <w:r w:rsidRPr="006F2E71">
        <w:t xml:space="preserve">Smlouva se uzavírá na dobu určitou do </w:t>
      </w:r>
      <w:r w:rsidR="001E668B" w:rsidRPr="006F2E71">
        <w:t>Prosince</w:t>
      </w:r>
      <w:r w:rsidR="001E668B">
        <w:t xml:space="preserve"> 2020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7D7679">
      <w:pPr>
        <w:pStyle w:val="Nadpis2"/>
        <w:spacing w:after="120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7D7679" w:rsidRDefault="004E1498" w:rsidP="007D7679">
      <w:pPr>
        <w:pStyle w:val="Nadpis2"/>
        <w:spacing w:after="120"/>
        <w:contextualSpacing w:val="0"/>
        <w:jc w:val="left"/>
      </w:pPr>
      <w:r w:rsidRPr="007D7679">
        <w:t>Kontaktními osobami smluvních stran jsou</w:t>
      </w:r>
    </w:p>
    <w:p w14:paraId="4E7FEA6D" w14:textId="3EDFD238" w:rsidR="004E1498" w:rsidRPr="007D7679" w:rsidRDefault="004E1498" w:rsidP="007D7679">
      <w:pPr>
        <w:pStyle w:val="Nadpis3"/>
        <w:spacing w:after="120" w:line="240" w:lineRule="auto"/>
        <w:contextualSpacing w:val="0"/>
      </w:pPr>
      <w:r w:rsidRPr="007D7679">
        <w:t xml:space="preserve">za Objednatele p. </w:t>
      </w:r>
      <w:r w:rsidR="007D7679" w:rsidRPr="007D7679">
        <w:t>Lukáš Zdařil</w:t>
      </w:r>
      <w:r w:rsidR="0086114C" w:rsidRPr="007D7679">
        <w:t>,</w:t>
      </w:r>
      <w:r w:rsidRPr="007D7679">
        <w:t xml:space="preserve"> </w:t>
      </w:r>
      <w:r w:rsidR="007D7679" w:rsidRPr="007D7679">
        <w:t>mob</w:t>
      </w:r>
      <w:r w:rsidRPr="007D7679">
        <w:t>.</w:t>
      </w:r>
      <w:r w:rsidR="007D7679" w:rsidRPr="007D7679">
        <w:t>:</w:t>
      </w:r>
      <w:r w:rsidRPr="007D7679">
        <w:t xml:space="preserve"> </w:t>
      </w:r>
      <w:r w:rsidR="007D7679" w:rsidRPr="007D7679">
        <w:t>607 006 205</w:t>
      </w:r>
      <w:r w:rsidR="0086114C" w:rsidRPr="007D7679">
        <w:t>,</w:t>
      </w:r>
      <w:r w:rsidRPr="007D7679">
        <w:t xml:space="preserve"> e</w:t>
      </w:r>
      <w:r w:rsidR="007D7679" w:rsidRPr="007D7679">
        <w:t>-</w:t>
      </w:r>
      <w:r w:rsidRPr="007D7679">
        <w:t>mail</w:t>
      </w:r>
      <w:r w:rsidR="007D7679" w:rsidRPr="007D7679">
        <w:t>:</w:t>
      </w:r>
      <w:r w:rsidRPr="007D7679">
        <w:t xml:space="preserve"> </w:t>
      </w:r>
      <w:hyperlink r:id="rId12" w:history="1">
        <w:r w:rsidR="007D7679" w:rsidRPr="007D7679">
          <w:rPr>
            <w:rStyle w:val="Hypertextovodkaz"/>
          </w:rPr>
          <w:t>Zdaril@szdc.cz</w:t>
        </w:r>
      </w:hyperlink>
      <w:r w:rsidR="0086114C" w:rsidRPr="007D7679">
        <w:t>,</w:t>
      </w:r>
    </w:p>
    <w:p w14:paraId="1C513CD4" w14:textId="14A9F49B" w:rsidR="004E1498" w:rsidRPr="004E1498" w:rsidRDefault="004E1498" w:rsidP="007D7679">
      <w:pPr>
        <w:pStyle w:val="Nadpis3"/>
        <w:spacing w:after="120" w:line="240" w:lineRule="auto"/>
        <w:contextualSpacing w:val="0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</w:t>
      </w:r>
      <w:r w:rsidR="007D7679">
        <w:rPr>
          <w:highlight w:val="yellow"/>
        </w:rPr>
        <w:t>mob</w:t>
      </w:r>
      <w:r w:rsidRPr="004E1498">
        <w:rPr>
          <w:highlight w:val="yellow"/>
        </w:rPr>
        <w:t>.</w:t>
      </w:r>
      <w:r w:rsidR="007D7679">
        <w:rPr>
          <w:highlight w:val="yellow"/>
        </w:rPr>
        <w:t>:</w:t>
      </w:r>
      <w:r w:rsidRPr="004E1498">
        <w:rPr>
          <w:highlight w:val="yellow"/>
        </w:rPr>
        <w:t xml:space="preserve">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</w:t>
      </w:r>
      <w:r w:rsidR="007D7679">
        <w:rPr>
          <w:highlight w:val="yellow"/>
        </w:rPr>
        <w:t>-</w:t>
      </w:r>
      <w:r w:rsidRPr="004E1498">
        <w:rPr>
          <w:highlight w:val="yellow"/>
        </w:rPr>
        <w:t>mail</w:t>
      </w:r>
      <w:r w:rsidR="007D7679">
        <w:rPr>
          <w:highlight w:val="yellow"/>
        </w:rPr>
        <w:t>:</w:t>
      </w:r>
      <w:r w:rsidRPr="004E1498">
        <w:rPr>
          <w:highlight w:val="yellow"/>
        </w:rPr>
        <w:t xml:space="preserve">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7D7679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7D7679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7D7679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7D7679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</w:t>
      </w:r>
      <w:r w:rsidRPr="00D9782E">
        <w:rPr>
          <w:rFonts w:eastAsia="Calibri"/>
        </w:rPr>
        <w:lastRenderedPageBreak/>
        <w:t xml:space="preserve">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7D7679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Default="006C7697" w:rsidP="007D7679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BD130E7" w14:textId="77777777" w:rsidR="004429CF" w:rsidRPr="004429CF" w:rsidRDefault="004429CF" w:rsidP="007D7679">
      <w:pPr>
        <w:spacing w:after="120" w:line="240" w:lineRule="auto"/>
        <w:rPr>
          <w:lang w:eastAsia="cs-CZ"/>
        </w:rPr>
      </w:pPr>
    </w:p>
    <w:p w14:paraId="7ACA4F45" w14:textId="77777777" w:rsidR="004E1498" w:rsidRPr="004E1498" w:rsidRDefault="004E1498" w:rsidP="007D7679">
      <w:pPr>
        <w:pStyle w:val="Nadpis1"/>
        <w:spacing w:before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7D7679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7D7679">
      <w:pPr>
        <w:pStyle w:val="Nadpis2"/>
        <w:spacing w:after="120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7D7679">
      <w:pPr>
        <w:pStyle w:val="Nadpis3"/>
        <w:spacing w:after="120" w:line="240" w:lineRule="auto"/>
        <w:contextualSpacing w:val="0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7D7679">
      <w:pPr>
        <w:pStyle w:val="Nadpis3"/>
        <w:spacing w:after="120" w:line="240" w:lineRule="auto"/>
        <w:contextualSpacing w:val="0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7D7679">
      <w:pPr>
        <w:pStyle w:val="Nadpis2"/>
        <w:spacing w:after="120"/>
        <w:contextualSpacing w:val="0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7D7679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7D7679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7D7679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7D7679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D7679" w:rsidRDefault="004E1498" w:rsidP="007D7679">
      <w:pPr>
        <w:pStyle w:val="Nadpis2"/>
        <w:spacing w:after="120"/>
        <w:ind w:left="567" w:hanging="567"/>
        <w:contextualSpacing w:val="0"/>
        <w:jc w:val="left"/>
      </w:pPr>
      <w:r w:rsidRPr="007D7679">
        <w:rPr>
          <w:rFonts w:eastAsia="Calibri"/>
        </w:rPr>
        <w:t xml:space="preserve">Tato </w:t>
      </w:r>
      <w:r w:rsidR="00D9782E" w:rsidRPr="007D7679">
        <w:rPr>
          <w:rFonts w:eastAsia="Calibri"/>
        </w:rPr>
        <w:t>Sml</w:t>
      </w:r>
      <w:r w:rsidRPr="007D7679">
        <w:rPr>
          <w:rFonts w:eastAsia="Calibri"/>
        </w:rPr>
        <w:t xml:space="preserve">ouva nabývá platnosti okamžikem podpisu poslední ze </w:t>
      </w:r>
      <w:r w:rsidR="00D9782E" w:rsidRPr="007D7679">
        <w:rPr>
          <w:rFonts w:eastAsia="Calibri"/>
        </w:rPr>
        <w:t>Sml</w:t>
      </w:r>
      <w:r w:rsidRPr="007D767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C83B5F" w14:textId="77777777" w:rsidR="007D7679" w:rsidRDefault="007D7679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16F16F" w14:textId="77777777" w:rsidR="007D7679" w:rsidRDefault="007D7679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9391479" w14:textId="77777777" w:rsidR="007D7679" w:rsidRDefault="007D7679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9A72EB" w14:textId="77777777" w:rsidR="007D7679" w:rsidRDefault="007D7679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2377F2F" w14:textId="77777777" w:rsidR="007D7679" w:rsidRPr="004E1498" w:rsidRDefault="007D7679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7D7679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D7679">
        <w:rPr>
          <w:rFonts w:eastAsia="Times New Roman" w:cs="Times New Roman"/>
          <w:b/>
          <w:lang w:eastAsia="cs-CZ"/>
        </w:rPr>
        <w:lastRenderedPageBreak/>
        <w:t>Přílohy</w:t>
      </w:r>
    </w:p>
    <w:p w14:paraId="006CBB1A" w14:textId="640A1264" w:rsidR="006E6E61" w:rsidRPr="007D7679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D7679">
        <w:rPr>
          <w:rFonts w:eastAsia="Times New Roman" w:cs="Times New Roman"/>
          <w:lang w:eastAsia="cs-CZ"/>
        </w:rPr>
        <w:t>O</w:t>
      </w:r>
      <w:r w:rsidR="006E6E61" w:rsidRPr="007D7679">
        <w:rPr>
          <w:rFonts w:eastAsia="Times New Roman" w:cs="Times New Roman"/>
          <w:lang w:eastAsia="cs-CZ"/>
        </w:rPr>
        <w:t>ceněný položkový rozpočet</w:t>
      </w:r>
    </w:p>
    <w:p w14:paraId="314AFFCD" w14:textId="533F366A" w:rsidR="00D657AD" w:rsidRPr="007D7679" w:rsidRDefault="007D767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7D7679">
        <w:rPr>
          <w:rFonts w:eastAsia="Times New Roman" w:cs="Times New Roman"/>
          <w:lang w:eastAsia="cs-CZ"/>
        </w:rPr>
        <w:t>Obchodní podmínky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699B15C" w14:textId="2F358BCC" w:rsidR="007D7679" w:rsidRDefault="007D7679" w:rsidP="007D7679">
      <w:pPr>
        <w:spacing w:after="120"/>
        <w:jc w:val="both"/>
        <w:rPr>
          <w:rFonts w:ascii="Verdana" w:hAnsi="Verdana"/>
          <w:color w:val="FF0000"/>
          <w:spacing w:val="-2"/>
        </w:rPr>
      </w:pPr>
      <w:r>
        <w:rPr>
          <w:rFonts w:ascii="Verdana" w:hAnsi="Verdana"/>
          <w:spacing w:val="-2"/>
        </w:rPr>
        <w:t>V Olomouci dne ………………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 xml:space="preserve">V </w:t>
      </w:r>
      <w:r>
        <w:rPr>
          <w:rFonts w:ascii="Verdana" w:hAnsi="Verdana"/>
          <w:spacing w:val="-2"/>
          <w:highlight w:val="yellow"/>
        </w:rPr>
        <w:t>…………</w:t>
      </w:r>
      <w:proofErr w:type="gramStart"/>
      <w:r>
        <w:rPr>
          <w:rFonts w:ascii="Verdana" w:hAnsi="Verdana"/>
          <w:spacing w:val="-2"/>
          <w:highlight w:val="yellow"/>
        </w:rPr>
        <w:t>….. dne</w:t>
      </w:r>
      <w:proofErr w:type="gramEnd"/>
      <w:r>
        <w:rPr>
          <w:rFonts w:ascii="Verdana" w:hAnsi="Verdana"/>
          <w:spacing w:val="-2"/>
          <w:highlight w:val="yellow"/>
        </w:rPr>
        <w:t xml:space="preserve"> ……………</w:t>
      </w:r>
      <w:r w:rsidRPr="007D7679">
        <w:rPr>
          <w:rFonts w:ascii="Verdana" w:hAnsi="Verdana"/>
          <w:spacing w:val="-2"/>
          <w:highlight w:val="yellow"/>
        </w:rPr>
        <w:t>……………</w:t>
      </w:r>
    </w:p>
    <w:p w14:paraId="31360864" w14:textId="77777777" w:rsidR="007D7679" w:rsidRDefault="007D7679" w:rsidP="007D7679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za objednatele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</w:t>
      </w:r>
      <w:r>
        <w:rPr>
          <w:rFonts w:ascii="Verdana" w:hAnsi="Verdana"/>
          <w:b/>
        </w:rPr>
        <w:t>za zhotovitele</w:t>
      </w:r>
    </w:p>
    <w:p w14:paraId="111DD947" w14:textId="3186D19D" w:rsidR="007D7679" w:rsidRDefault="007D7679" w:rsidP="007D7679">
      <w:pPr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>Správa železnic, státní organizace</w:t>
      </w:r>
      <w:r>
        <w:rPr>
          <w:rFonts w:ascii="Verdana" w:hAnsi="Verdana"/>
          <w:b/>
          <w:spacing w:val="-2"/>
        </w:rPr>
        <w:tab/>
      </w:r>
      <w:r>
        <w:rPr>
          <w:rFonts w:ascii="Verdana" w:hAnsi="Verdana"/>
          <w:b/>
          <w:spacing w:val="-2"/>
        </w:rPr>
        <w:tab/>
      </w:r>
      <w:r>
        <w:rPr>
          <w:rFonts w:ascii="Verdana" w:hAnsi="Verdana"/>
          <w:b/>
          <w:spacing w:val="-2"/>
        </w:rPr>
        <w:tab/>
      </w:r>
      <w:r>
        <w:rPr>
          <w:rFonts w:ascii="Verdana" w:hAnsi="Verdana"/>
          <w:b/>
          <w:spacing w:val="-2"/>
        </w:rPr>
        <w:tab/>
      </w:r>
      <w:r w:rsidRPr="007D7679">
        <w:rPr>
          <w:rFonts w:ascii="Verdana" w:hAnsi="Verdana"/>
          <w:b/>
          <w:spacing w:val="-2"/>
          <w:highlight w:val="yellow"/>
        </w:rPr>
        <w:t>…………………………………….</w:t>
      </w:r>
    </w:p>
    <w:p w14:paraId="41252633" w14:textId="77777777" w:rsidR="007D7679" w:rsidRDefault="007D7679" w:rsidP="007D7679">
      <w:pPr>
        <w:spacing w:after="120"/>
        <w:jc w:val="both"/>
        <w:rPr>
          <w:rFonts w:ascii="Verdana" w:hAnsi="Verdana"/>
          <w:spacing w:val="-2"/>
        </w:rPr>
      </w:pPr>
    </w:p>
    <w:p w14:paraId="49375AB7" w14:textId="77777777" w:rsidR="007D7679" w:rsidRDefault="007D7679" w:rsidP="007D7679">
      <w:pPr>
        <w:spacing w:after="120"/>
        <w:jc w:val="both"/>
        <w:rPr>
          <w:rFonts w:ascii="Verdana" w:hAnsi="Verdana"/>
          <w:spacing w:val="-2"/>
        </w:rPr>
      </w:pPr>
    </w:p>
    <w:p w14:paraId="6B9FFB17" w14:textId="77777777" w:rsidR="007D7679" w:rsidRDefault="007D7679" w:rsidP="007D7679">
      <w:pPr>
        <w:spacing w:after="120"/>
        <w:jc w:val="both"/>
        <w:rPr>
          <w:rFonts w:ascii="Verdana" w:hAnsi="Verdana"/>
          <w:spacing w:val="-2"/>
        </w:rPr>
      </w:pPr>
    </w:p>
    <w:p w14:paraId="73708EAC" w14:textId="77777777" w:rsidR="007D7679" w:rsidRDefault="007D7679" w:rsidP="007D7679">
      <w:pPr>
        <w:spacing w:after="120"/>
        <w:jc w:val="both"/>
        <w:rPr>
          <w:rFonts w:ascii="Verdana" w:hAnsi="Verdana"/>
          <w:spacing w:val="-2"/>
        </w:rPr>
      </w:pPr>
    </w:p>
    <w:p w14:paraId="401E5D49" w14:textId="77777777" w:rsidR="007D7679" w:rsidRDefault="007D7679" w:rsidP="007D7679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67ED9CA6" w14:textId="77777777" w:rsidR="007D7679" w:rsidRDefault="007D7679" w:rsidP="007D7679">
      <w:pPr>
        <w:spacing w:after="0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 w:rsidRPr="007D7679">
        <w:rPr>
          <w:rFonts w:ascii="Verdana" w:hAnsi="Verdana"/>
          <w:highlight w:val="yellow"/>
        </w:rPr>
        <w:t>………………………………………</w:t>
      </w:r>
    </w:p>
    <w:p w14:paraId="219F720F" w14:textId="77777777" w:rsidR="007D7679" w:rsidRDefault="007D7679" w:rsidP="007D7679">
      <w:pPr>
        <w:spacing w:after="0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</w:t>
      </w:r>
      <w:r w:rsidRPr="007D7679">
        <w:rPr>
          <w:rFonts w:ascii="Verdana" w:hAnsi="Verdana"/>
          <w:highlight w:val="yellow"/>
        </w:rPr>
        <w:t>………………………………</w:t>
      </w:r>
    </w:p>
    <w:p w14:paraId="7CE7768C" w14:textId="77777777" w:rsidR="007D7679" w:rsidRDefault="007D7679" w:rsidP="007D7679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C412B99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B328151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B9800A2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15CF23C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5C5C828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F9C70A2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F99E958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E999D6E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6392AE0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A2EA9C4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B33AE99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8BE2117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1082C6D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19D0680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00F191E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E437738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D415D02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F9A025F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259DEE3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CC88547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3ADD453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EB764B1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C9ED3EA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43463FE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8ECD2A7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05A202B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C90E0BF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D0AD209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3286428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F9737E8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748B644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B8539A0" w14:textId="77777777" w:rsidR="007D7679" w:rsidRDefault="007D7679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4E261668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  <w:r w:rsidRPr="00A157FE">
        <w:rPr>
          <w:rFonts w:ascii="Verdana" w:hAnsi="Verdana"/>
          <w:i/>
          <w:iCs/>
          <w:sz w:val="16"/>
          <w:szCs w:val="16"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 ní srozuměny</w:t>
      </w:r>
      <w:r>
        <w:rPr>
          <w:rFonts w:ascii="Verdana" w:hAnsi="Verdana"/>
          <w:i/>
          <w:iCs/>
          <w:sz w:val="16"/>
          <w:szCs w:val="16"/>
        </w:rPr>
        <w:t>.</w:t>
      </w:r>
    </w:p>
    <w:sectPr w:rsidR="00A157FE" w:rsidRPr="00A157F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D5013" w14:textId="77777777" w:rsidR="00F867BB" w:rsidRDefault="00F867BB" w:rsidP="00962258">
      <w:pPr>
        <w:spacing w:after="0" w:line="240" w:lineRule="auto"/>
      </w:pPr>
      <w:r>
        <w:separator/>
      </w:r>
    </w:p>
  </w:endnote>
  <w:endnote w:type="continuationSeparator" w:id="0">
    <w:p w14:paraId="1D7A50A7" w14:textId="77777777" w:rsidR="00F867BB" w:rsidRDefault="00F867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624053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08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082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F0E4D3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08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082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0A1A623" w14:textId="77777777" w:rsidR="00592757" w:rsidRDefault="00C80820" w:rsidP="00093A53">
          <w:pPr>
            <w:pStyle w:val="Zpat"/>
          </w:pPr>
          <w:r>
            <w:t>Oblastní ředitelství Olomouc</w:t>
          </w:r>
        </w:p>
        <w:p w14:paraId="12CC2F98" w14:textId="77777777" w:rsidR="00C80820" w:rsidRDefault="00C80820" w:rsidP="00093A53">
          <w:pPr>
            <w:pStyle w:val="Zpat"/>
          </w:pPr>
          <w:r>
            <w:t>Nerudova 1</w:t>
          </w:r>
        </w:p>
        <w:p w14:paraId="0C29E961" w14:textId="4F10817B" w:rsidR="00C80820" w:rsidRDefault="00C80820" w:rsidP="00093A53">
          <w:pPr>
            <w:pStyle w:val="Zpat"/>
          </w:pPr>
          <w:r>
            <w:t>779 00 Olomouc</w:t>
          </w:r>
        </w:p>
      </w:tc>
    </w:tr>
  </w:tbl>
  <w:p w14:paraId="0935A879" w14:textId="3E4A9A5C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4D74A" w14:textId="77777777" w:rsidR="00F867BB" w:rsidRDefault="00F867BB" w:rsidP="00962258">
      <w:pPr>
        <w:spacing w:after="0" w:line="240" w:lineRule="auto"/>
      </w:pPr>
      <w:r>
        <w:separator/>
      </w:r>
    </w:p>
  </w:footnote>
  <w:footnote w:type="continuationSeparator" w:id="0">
    <w:p w14:paraId="2F729448" w14:textId="77777777" w:rsidR="00F867BB" w:rsidRDefault="00F867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853E9"/>
    <w:rsid w:val="000A13BC"/>
    <w:rsid w:val="000A3F85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1E668B"/>
    <w:rsid w:val="00207DF5"/>
    <w:rsid w:val="00216D72"/>
    <w:rsid w:val="002313EA"/>
    <w:rsid w:val="0025341D"/>
    <w:rsid w:val="00275474"/>
    <w:rsid w:val="00280E07"/>
    <w:rsid w:val="0029605F"/>
    <w:rsid w:val="002B135E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2E7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D7679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0DB"/>
    <w:rsid w:val="00992D9C"/>
    <w:rsid w:val="00996CB8"/>
    <w:rsid w:val="009A0078"/>
    <w:rsid w:val="009B14A9"/>
    <w:rsid w:val="009B2E97"/>
    <w:rsid w:val="009C30C5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44F6A"/>
    <w:rsid w:val="00C47AE3"/>
    <w:rsid w:val="00C80820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2C2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Zdaril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8491E59-F7CB-4AAE-8017-343F9FD3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1331</Words>
  <Characters>7855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6</cp:revision>
  <cp:lastPrinted>2017-11-28T17:18:00Z</cp:lastPrinted>
  <dcterms:created xsi:type="dcterms:W3CDTF">2020-01-09T08:40:00Z</dcterms:created>
  <dcterms:modified xsi:type="dcterms:W3CDTF">2020-01-10T11:15:00Z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